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90" w:rsidRDefault="005E3090" w:rsidP="005E3090">
      <w:pPr>
        <w:widowControl w:val="0"/>
        <w:autoSpaceDE w:val="0"/>
        <w:autoSpaceDN w:val="0"/>
        <w:adjustRightInd w:val="0"/>
        <w:spacing w:after="720"/>
        <w:ind w:right="720"/>
        <w:rPr>
          <w:rFonts w:ascii="Calibri" w:hAnsi="Calibri" w:cs="Calibri"/>
          <w:sz w:val="29"/>
          <w:szCs w:val="29"/>
        </w:rPr>
      </w:pPr>
      <w:r>
        <w:rPr>
          <w:rFonts w:ascii="Georgia" w:hAnsi="Georgia" w:cs="Georgia"/>
          <w:sz w:val="26"/>
          <w:szCs w:val="26"/>
        </w:rPr>
        <w:t xml:space="preserve">As spring rapidly approaches, KGL Constructors is preparing for the first full construction season on the Southwest Calgary Ring Road (SWCRR). Updates regarding specific construction activities and traffic impacts are regularly posted on our project website at </w:t>
      </w:r>
      <w:hyperlink r:id="rId5" w:history="1">
        <w:r>
          <w:rPr>
            <w:rFonts w:ascii="Georgia" w:hAnsi="Georgia" w:cs="Georgia"/>
            <w:color w:val="813B5F"/>
            <w:sz w:val="26"/>
            <w:szCs w:val="26"/>
            <w:u w:val="single" w:color="813B5F"/>
          </w:rPr>
          <w:t>w</w:t>
        </w:r>
        <w:bookmarkStart w:id="0" w:name="_GoBack"/>
        <w:bookmarkEnd w:id="0"/>
        <w:r>
          <w:rPr>
            <w:rFonts w:ascii="Georgia" w:hAnsi="Georgia" w:cs="Georgia"/>
            <w:color w:val="813B5F"/>
            <w:sz w:val="26"/>
            <w:szCs w:val="26"/>
            <w:u w:val="single" w:color="813B5F"/>
          </w:rPr>
          <w:t>w</w:t>
        </w:r>
        <w:r>
          <w:rPr>
            <w:rFonts w:ascii="Georgia" w:hAnsi="Georgia" w:cs="Georgia"/>
            <w:color w:val="813B5F"/>
            <w:sz w:val="26"/>
            <w:szCs w:val="26"/>
            <w:u w:val="single" w:color="813B5F"/>
          </w:rPr>
          <w:t>w.SWCRRproject.com</w:t>
        </w:r>
      </w:hyperlink>
      <w:r>
        <w:rPr>
          <w:rFonts w:ascii="Georgia" w:hAnsi="Georgia" w:cs="Georgia"/>
          <w:sz w:val="26"/>
          <w:szCs w:val="26"/>
        </w:rPr>
        <w:t>.</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sz w:val="26"/>
          <w:szCs w:val="26"/>
        </w:rPr>
        <w:t>Road construction is expected along the length of the project corridor in 2017, including earthworks, paving, piling and interchange work:</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b/>
          <w:bCs/>
          <w:sz w:val="26"/>
          <w:szCs w:val="26"/>
        </w:rPr>
        <w:t>1.</w:t>
      </w:r>
      <w:r>
        <w:rPr>
          <w:rFonts w:ascii="Times New Roman" w:hAnsi="Times New Roman" w:cs="Times New Roman"/>
          <w:sz w:val="18"/>
          <w:szCs w:val="18"/>
        </w:rPr>
        <w:t xml:space="preserve">      </w:t>
      </w:r>
      <w:r>
        <w:rPr>
          <w:rFonts w:ascii="Georgia" w:hAnsi="Georgia" w:cs="Georgia"/>
          <w:b/>
          <w:bCs/>
          <w:sz w:val="26"/>
          <w:szCs w:val="26"/>
        </w:rPr>
        <w:t>Highway 8/Glenmore Trail to 37 Street S.W.</w:t>
      </w:r>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Construction of new eastbound lanes along Highway 8 and Glenmore Trail</w:t>
      </w:r>
    </w:p>
    <w:p w:rsidR="005E3090" w:rsidRDefault="005E3090" w:rsidP="005E3090">
      <w:pPr>
        <w:widowControl w:val="0"/>
        <w:autoSpaceDE w:val="0"/>
        <w:autoSpaceDN w:val="0"/>
        <w:adjustRightInd w:val="0"/>
        <w:rPr>
          <w:rFonts w:ascii="Calibri" w:hAnsi="Calibri" w:cs="Calibri"/>
          <w:sz w:val="29"/>
          <w:szCs w:val="29"/>
        </w:rPr>
      </w:pPr>
      <w:proofErr w:type="gramStart"/>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 xml:space="preserve">Earthworks for the interchange south of </w:t>
      </w:r>
      <w:proofErr w:type="spellStart"/>
      <w:r>
        <w:rPr>
          <w:rFonts w:ascii="Georgia" w:hAnsi="Georgia" w:cs="Georgia"/>
          <w:sz w:val="26"/>
          <w:szCs w:val="26"/>
        </w:rPr>
        <w:t>Sarcee</w:t>
      </w:r>
      <w:proofErr w:type="spellEnd"/>
      <w:r>
        <w:rPr>
          <w:rFonts w:ascii="Georgia" w:hAnsi="Georgia" w:cs="Georgia"/>
          <w:sz w:val="26"/>
          <w:szCs w:val="26"/>
        </w:rPr>
        <w:t xml:space="preserve"> Trail S.W.</w:t>
      </w:r>
      <w:proofErr w:type="gramEnd"/>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Work at the Grey Eagle Resort &amp; Casino to establish a new entrance/exit to Glenmore Trail</w:t>
      </w:r>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 xml:space="preserve">Preparations for realignment of the Elbow River, including excavation of the new section of river channel, erosion control and planting of native vegetation </w:t>
      </w:r>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Utility work along the length of the road segment</w:t>
      </w:r>
    </w:p>
    <w:p w:rsidR="005E3090" w:rsidRDefault="005E3090" w:rsidP="005E3090">
      <w:pPr>
        <w:widowControl w:val="0"/>
        <w:autoSpaceDE w:val="0"/>
        <w:autoSpaceDN w:val="0"/>
        <w:adjustRightInd w:val="0"/>
        <w:rPr>
          <w:rFonts w:ascii="Calibri" w:hAnsi="Calibri" w:cs="Calibri"/>
          <w:sz w:val="29"/>
          <w:szCs w:val="29"/>
        </w:rPr>
      </w:pPr>
      <w:proofErr w:type="gramStart"/>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Development of a gravel pit and crushing operations near Old Banff Coach Road S.W.</w:t>
      </w:r>
      <w:proofErr w:type="gramEnd"/>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 xml:space="preserve">Construction of a haul road from the gravel pit to Highway 8 (crossing 17 Avenue and Lower </w:t>
      </w:r>
      <w:proofErr w:type="spellStart"/>
      <w:r>
        <w:rPr>
          <w:rFonts w:ascii="Georgia" w:hAnsi="Georgia" w:cs="Georgia"/>
          <w:sz w:val="26"/>
          <w:szCs w:val="26"/>
        </w:rPr>
        <w:t>Springbank</w:t>
      </w:r>
      <w:proofErr w:type="spellEnd"/>
      <w:r>
        <w:rPr>
          <w:rFonts w:ascii="Georgia" w:hAnsi="Georgia" w:cs="Georgia"/>
          <w:sz w:val="26"/>
          <w:szCs w:val="26"/>
        </w:rPr>
        <w:t xml:space="preserve"> Road S.W.)</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sz w:val="26"/>
          <w:szCs w:val="26"/>
        </w:rPr>
        <w:t xml:space="preserve"> </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b/>
          <w:bCs/>
          <w:sz w:val="26"/>
          <w:szCs w:val="26"/>
        </w:rPr>
        <w:t>2.</w:t>
      </w:r>
      <w:r>
        <w:rPr>
          <w:rFonts w:ascii="Times New Roman" w:hAnsi="Times New Roman" w:cs="Times New Roman"/>
          <w:sz w:val="18"/>
          <w:szCs w:val="18"/>
        </w:rPr>
        <w:t xml:space="preserve">     </w:t>
      </w:r>
      <w:r>
        <w:rPr>
          <w:rFonts w:ascii="Georgia" w:hAnsi="Georgia" w:cs="Georgia"/>
          <w:b/>
          <w:bCs/>
          <w:sz w:val="26"/>
          <w:szCs w:val="26"/>
        </w:rPr>
        <w:t>90</w:t>
      </w:r>
      <w:r>
        <w:rPr>
          <w:rFonts w:ascii="Georgia" w:hAnsi="Georgia" w:cs="Georgia"/>
          <w:b/>
          <w:bCs/>
          <w:sz w:val="22"/>
          <w:szCs w:val="22"/>
          <w:vertAlign w:val="superscript"/>
        </w:rPr>
        <w:t xml:space="preserve"> </w:t>
      </w:r>
      <w:r>
        <w:rPr>
          <w:rFonts w:ascii="Georgia" w:hAnsi="Georgia" w:cs="Georgia"/>
          <w:b/>
          <w:bCs/>
          <w:sz w:val="26"/>
          <w:szCs w:val="26"/>
        </w:rPr>
        <w:t xml:space="preserve">Avenue to 162 </w:t>
      </w:r>
      <w:proofErr w:type="gramStart"/>
      <w:r>
        <w:rPr>
          <w:rFonts w:ascii="Georgia" w:hAnsi="Georgia" w:cs="Georgia"/>
          <w:b/>
          <w:bCs/>
          <w:sz w:val="26"/>
          <w:szCs w:val="26"/>
        </w:rPr>
        <w:t>Avenue</w:t>
      </w:r>
      <w:proofErr w:type="gramEnd"/>
      <w:r>
        <w:rPr>
          <w:rFonts w:ascii="Georgia" w:hAnsi="Georgia" w:cs="Georgia"/>
          <w:b/>
          <w:bCs/>
          <w:sz w:val="26"/>
          <w:szCs w:val="26"/>
        </w:rPr>
        <w:t xml:space="preserve"> S.W.</w:t>
      </w:r>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 xml:space="preserve">Construction of the road </w:t>
      </w:r>
      <w:proofErr w:type="gramStart"/>
      <w:r>
        <w:rPr>
          <w:rFonts w:ascii="Georgia" w:hAnsi="Georgia" w:cs="Georgia"/>
          <w:sz w:val="26"/>
          <w:szCs w:val="26"/>
        </w:rPr>
        <w:t>segment</w:t>
      </w:r>
      <w:proofErr w:type="gramEnd"/>
      <w:r>
        <w:rPr>
          <w:rFonts w:ascii="Georgia" w:hAnsi="Georgia" w:cs="Georgia"/>
          <w:sz w:val="26"/>
          <w:szCs w:val="26"/>
        </w:rPr>
        <w:t>, including new southbound lanes west of 37 Street S.W.</w:t>
      </w:r>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Initial work for bridge structures at 90 Avenue, Fish Creek, and 146 Avenue/Fish Creek Boulevard S.W.</w:t>
      </w:r>
    </w:p>
    <w:p w:rsidR="005E3090" w:rsidRDefault="005E3090" w:rsidP="005E3090">
      <w:pPr>
        <w:widowControl w:val="0"/>
        <w:autoSpaceDE w:val="0"/>
        <w:autoSpaceDN w:val="0"/>
        <w:adjustRightInd w:val="0"/>
        <w:rPr>
          <w:rFonts w:ascii="Calibri" w:hAnsi="Calibri" w:cs="Calibri"/>
          <w:sz w:val="29"/>
          <w:szCs w:val="29"/>
        </w:rPr>
      </w:pPr>
      <w:proofErr w:type="gramStart"/>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Traffic realignments along Fish Creek Boulevard and 37 Street S.W.</w:t>
      </w:r>
      <w:proofErr w:type="gramEnd"/>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Preparations for the realignment of Fish Creek, including excavation of the new section of river channel, erosion control and planting of native vegetation</w:t>
      </w:r>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Utility work along the length of the segment</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sz w:val="26"/>
          <w:szCs w:val="26"/>
        </w:rPr>
        <w:t xml:space="preserve"> </w:t>
      </w:r>
    </w:p>
    <w:p w:rsidR="005E3090" w:rsidRDefault="005E3090" w:rsidP="005E3090">
      <w:pPr>
        <w:widowControl w:val="0"/>
        <w:autoSpaceDE w:val="0"/>
        <w:autoSpaceDN w:val="0"/>
        <w:adjustRightInd w:val="0"/>
        <w:rPr>
          <w:rFonts w:ascii="Calibri" w:hAnsi="Calibri" w:cs="Calibri"/>
          <w:sz w:val="29"/>
          <w:szCs w:val="29"/>
        </w:rPr>
      </w:pPr>
      <w:proofErr w:type="gramStart"/>
      <w:r>
        <w:rPr>
          <w:rFonts w:ascii="Georgia" w:hAnsi="Georgia" w:cs="Georgia"/>
          <w:b/>
          <w:bCs/>
          <w:sz w:val="26"/>
          <w:szCs w:val="26"/>
        </w:rPr>
        <w:t>3.</w:t>
      </w:r>
      <w:r>
        <w:rPr>
          <w:rFonts w:ascii="Times New Roman" w:hAnsi="Times New Roman" w:cs="Times New Roman"/>
          <w:sz w:val="18"/>
          <w:szCs w:val="18"/>
        </w:rPr>
        <w:t xml:space="preserve">     </w:t>
      </w:r>
      <w:r>
        <w:rPr>
          <w:rFonts w:ascii="Georgia" w:hAnsi="Georgia" w:cs="Georgia"/>
          <w:b/>
          <w:bCs/>
          <w:sz w:val="26"/>
          <w:szCs w:val="26"/>
        </w:rPr>
        <w:t>162 Avenue</w:t>
      </w:r>
      <w:proofErr w:type="gramEnd"/>
      <w:r>
        <w:rPr>
          <w:rFonts w:ascii="Georgia" w:hAnsi="Georgia" w:cs="Georgia"/>
          <w:b/>
          <w:bCs/>
          <w:sz w:val="26"/>
          <w:szCs w:val="26"/>
        </w:rPr>
        <w:t xml:space="preserve"> S.W. to Macleod Trail S.E.</w:t>
      </w:r>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Construction of new eastbound lanes along Highway 22X</w:t>
      </w:r>
    </w:p>
    <w:p w:rsidR="005E3090" w:rsidRDefault="005E3090" w:rsidP="005E3090">
      <w:pPr>
        <w:widowControl w:val="0"/>
        <w:autoSpaceDE w:val="0"/>
        <w:autoSpaceDN w:val="0"/>
        <w:adjustRightInd w:val="0"/>
        <w:rPr>
          <w:rFonts w:ascii="Calibri" w:hAnsi="Calibri" w:cs="Calibri"/>
          <w:sz w:val="29"/>
          <w:szCs w:val="29"/>
        </w:rPr>
      </w:pPr>
      <w:proofErr w:type="gramStart"/>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Construction of bridges over CP railway and new westbound bridges at Macleod Trail S.E.</w:t>
      </w:r>
      <w:proofErr w:type="gramEnd"/>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Closure of 24 Street S.W. near Highway 22X (spring 2017)</w:t>
      </w:r>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lastRenderedPageBreak/>
        <w:t>·</w:t>
      </w:r>
      <w:r>
        <w:rPr>
          <w:rFonts w:ascii="Times New Roman" w:hAnsi="Times New Roman" w:cs="Times New Roman"/>
          <w:sz w:val="18"/>
          <w:szCs w:val="18"/>
        </w:rPr>
        <w:t xml:space="preserve">        </w:t>
      </w:r>
      <w:r>
        <w:rPr>
          <w:rFonts w:ascii="Georgia" w:hAnsi="Georgia" w:cs="Georgia"/>
          <w:sz w:val="26"/>
          <w:szCs w:val="26"/>
        </w:rPr>
        <w:t>Ongoing gravel processing from the excavation near 162 Avenue S.W., with an asphalt plant set up on the site in the summer of 2017</w:t>
      </w:r>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Utility work along the length of the segment</w:t>
      </w:r>
    </w:p>
    <w:p w:rsidR="005E3090" w:rsidRDefault="005E3090" w:rsidP="005E3090">
      <w:pPr>
        <w:widowControl w:val="0"/>
        <w:autoSpaceDE w:val="0"/>
        <w:autoSpaceDN w:val="0"/>
        <w:adjustRightInd w:val="0"/>
        <w:rPr>
          <w:rFonts w:ascii="Calibri" w:hAnsi="Calibri" w:cs="Calibri"/>
          <w:sz w:val="29"/>
          <w:szCs w:val="29"/>
        </w:rPr>
      </w:pPr>
      <w:proofErr w:type="gramStart"/>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Traffic realignments for ramps around Macleod Trail S.W.</w:t>
      </w:r>
      <w:proofErr w:type="gramEnd"/>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b/>
          <w:bCs/>
          <w:color w:val="3E5120"/>
          <w:sz w:val="26"/>
          <w:szCs w:val="26"/>
        </w:rPr>
        <w:t xml:space="preserve"> </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b/>
          <w:bCs/>
          <w:color w:val="3E5120"/>
          <w:sz w:val="26"/>
          <w:szCs w:val="26"/>
        </w:rPr>
        <w:t>Project Hours of Work:</w:t>
      </w:r>
    </w:p>
    <w:p w:rsidR="005E3090" w:rsidRDefault="005E3090" w:rsidP="005E3090">
      <w:pPr>
        <w:widowControl w:val="0"/>
        <w:autoSpaceDE w:val="0"/>
        <w:autoSpaceDN w:val="0"/>
        <w:adjustRightInd w:val="0"/>
        <w:rPr>
          <w:rFonts w:ascii="Calibri" w:hAnsi="Calibri" w:cs="Calibri"/>
          <w:sz w:val="29"/>
          <w:szCs w:val="29"/>
        </w:rPr>
      </w:pPr>
      <w:proofErr w:type="gramStart"/>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Monday to Saturday from 7:00 a.m. to 10:00 p.m.</w:t>
      </w:r>
      <w:proofErr w:type="gramEnd"/>
    </w:p>
    <w:p w:rsidR="005E3090" w:rsidRDefault="005E3090" w:rsidP="005E3090">
      <w:pPr>
        <w:widowControl w:val="0"/>
        <w:autoSpaceDE w:val="0"/>
        <w:autoSpaceDN w:val="0"/>
        <w:adjustRightInd w:val="0"/>
        <w:rPr>
          <w:rFonts w:ascii="Calibri" w:hAnsi="Calibri" w:cs="Calibri"/>
          <w:sz w:val="29"/>
          <w:szCs w:val="29"/>
        </w:rPr>
      </w:pPr>
      <w:r>
        <w:rPr>
          <w:rFonts w:ascii="Symbol" w:hAnsi="Symbol" w:cs="Symbol" w:hint="eastAsia"/>
          <w:sz w:val="26"/>
          <w:szCs w:val="26"/>
        </w:rPr>
        <w:t>·</w:t>
      </w:r>
      <w:r>
        <w:rPr>
          <w:rFonts w:ascii="Times New Roman" w:hAnsi="Times New Roman" w:cs="Times New Roman"/>
          <w:sz w:val="18"/>
          <w:szCs w:val="18"/>
        </w:rPr>
        <w:t xml:space="preserve">        </w:t>
      </w:r>
      <w:r>
        <w:rPr>
          <w:rFonts w:ascii="Georgia" w:hAnsi="Georgia" w:cs="Georgia"/>
          <w:sz w:val="26"/>
          <w:szCs w:val="26"/>
        </w:rPr>
        <w:t>Sundays and Holidays from 9:00 a.m. to  10:00 p.m.</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sz w:val="26"/>
          <w:szCs w:val="26"/>
        </w:rPr>
        <w:t>Occasionally, KGL may apply for exemptions to work on critical activities outside of these times.</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sz w:val="26"/>
          <w:szCs w:val="26"/>
        </w:rPr>
        <w:t xml:space="preserve">Noise and dust will be regularly monitored throughout the project area and mitigation measures applied as needed. There will be an increase in equipment traffic along the project corridor and in </w:t>
      </w:r>
      <w:proofErr w:type="spellStart"/>
      <w:r>
        <w:rPr>
          <w:rFonts w:ascii="Georgia" w:hAnsi="Georgia" w:cs="Georgia"/>
          <w:sz w:val="26"/>
          <w:szCs w:val="26"/>
        </w:rPr>
        <w:t>neighbouring</w:t>
      </w:r>
      <w:proofErr w:type="spellEnd"/>
      <w:r>
        <w:rPr>
          <w:rFonts w:ascii="Georgia" w:hAnsi="Georgia" w:cs="Georgia"/>
          <w:sz w:val="26"/>
          <w:szCs w:val="26"/>
        </w:rPr>
        <w:t xml:space="preserve"> communities.</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sz w:val="26"/>
          <w:szCs w:val="26"/>
        </w:rPr>
        <w:t xml:space="preserve">Please keep in mind that the Transportation Utility Corridor is an active construction site and only authorized personnel are permitted in the area. </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sz w:val="26"/>
          <w:szCs w:val="26"/>
        </w:rPr>
        <w:t>KGL appreciates your patience during this period of construction.</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b/>
          <w:bCs/>
          <w:sz w:val="26"/>
          <w:szCs w:val="26"/>
        </w:rPr>
        <w:t xml:space="preserve"> </w:t>
      </w:r>
    </w:p>
    <w:p w:rsidR="005E3090" w:rsidRDefault="005E3090" w:rsidP="005E3090">
      <w:pPr>
        <w:widowControl w:val="0"/>
        <w:autoSpaceDE w:val="0"/>
        <w:autoSpaceDN w:val="0"/>
        <w:adjustRightInd w:val="0"/>
        <w:rPr>
          <w:rFonts w:ascii="Georgia" w:hAnsi="Georgia" w:cs="Georgia"/>
          <w:b/>
          <w:bCs/>
          <w:color w:val="3E5120"/>
          <w:sz w:val="26"/>
          <w:szCs w:val="26"/>
        </w:rPr>
      </w:pPr>
      <w:r>
        <w:rPr>
          <w:rFonts w:ascii="Georgia" w:hAnsi="Georgia" w:cs="Georgia"/>
          <w:b/>
          <w:bCs/>
          <w:color w:val="3E5120"/>
          <w:sz w:val="26"/>
          <w:szCs w:val="26"/>
        </w:rPr>
        <w:t xml:space="preserve">If you have any questions or would like SWCRR updates, please us: </w:t>
      </w:r>
    </w:p>
    <w:p w:rsidR="005E3090" w:rsidRDefault="005E3090" w:rsidP="005E3090">
      <w:pPr>
        <w:widowControl w:val="0"/>
        <w:autoSpaceDE w:val="0"/>
        <w:autoSpaceDN w:val="0"/>
        <w:adjustRightInd w:val="0"/>
        <w:rPr>
          <w:rFonts w:ascii="Georgia" w:hAnsi="Georgia" w:cs="Georgia"/>
          <w:b/>
          <w:bCs/>
          <w:color w:val="3E5120"/>
          <w:sz w:val="26"/>
          <w:szCs w:val="26"/>
        </w:rPr>
      </w:pPr>
      <w:r>
        <w:rPr>
          <w:rFonts w:ascii="Georgia" w:hAnsi="Georgia" w:cs="Georgia"/>
          <w:b/>
          <w:bCs/>
          <w:color w:val="3E5120"/>
          <w:sz w:val="26"/>
          <w:szCs w:val="26"/>
        </w:rPr>
        <w:t>403-212-0565</w:t>
      </w:r>
    </w:p>
    <w:p w:rsidR="005E3090" w:rsidRDefault="005E3090" w:rsidP="005E3090">
      <w:pPr>
        <w:widowControl w:val="0"/>
        <w:autoSpaceDE w:val="0"/>
        <w:autoSpaceDN w:val="0"/>
        <w:adjustRightInd w:val="0"/>
        <w:jc w:val="center"/>
        <w:rPr>
          <w:rFonts w:ascii="Georgia" w:hAnsi="Georgia" w:cs="Georgia"/>
          <w:b/>
          <w:bCs/>
          <w:color w:val="3E5120"/>
          <w:sz w:val="26"/>
          <w:szCs w:val="26"/>
        </w:rPr>
      </w:pPr>
      <w:hyperlink r:id="rId6" w:history="1">
        <w:r>
          <w:rPr>
            <w:rFonts w:ascii="Georgia" w:hAnsi="Georgia" w:cs="Georgia"/>
            <w:b/>
            <w:bCs/>
            <w:color w:val="813B5F"/>
            <w:sz w:val="26"/>
            <w:szCs w:val="26"/>
            <w:u w:val="single" w:color="813B5F"/>
          </w:rPr>
          <w:t>info@SWCRRproject.com</w:t>
        </w:r>
      </w:hyperlink>
    </w:p>
    <w:p w:rsidR="005E3090" w:rsidRDefault="005E3090" w:rsidP="005E3090">
      <w:pPr>
        <w:widowControl w:val="0"/>
        <w:autoSpaceDE w:val="0"/>
        <w:autoSpaceDN w:val="0"/>
        <w:adjustRightInd w:val="0"/>
        <w:jc w:val="center"/>
        <w:rPr>
          <w:rFonts w:ascii="Calibri" w:hAnsi="Calibri" w:cs="Calibri"/>
          <w:sz w:val="29"/>
          <w:szCs w:val="29"/>
        </w:rPr>
      </w:pPr>
      <w:hyperlink r:id="rId7" w:history="1">
        <w:r>
          <w:rPr>
            <w:rFonts w:ascii="Georgia" w:hAnsi="Georgia" w:cs="Georgia"/>
            <w:b/>
            <w:bCs/>
            <w:color w:val="813B5F"/>
            <w:sz w:val="26"/>
            <w:szCs w:val="26"/>
            <w:u w:val="single" w:color="813B5F"/>
          </w:rPr>
          <w:t>www.SWCRRproject.com</w:t>
        </w:r>
      </w:hyperlink>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b/>
          <w:bCs/>
          <w:color w:val="3E5120"/>
          <w:sz w:val="26"/>
          <w:szCs w:val="26"/>
        </w:rPr>
        <w:t xml:space="preserve"> </w:t>
      </w:r>
    </w:p>
    <w:p w:rsidR="005E3090" w:rsidRDefault="005E3090" w:rsidP="005E3090">
      <w:pPr>
        <w:widowControl w:val="0"/>
        <w:autoSpaceDE w:val="0"/>
        <w:autoSpaceDN w:val="0"/>
        <w:adjustRightInd w:val="0"/>
        <w:rPr>
          <w:rFonts w:ascii="Calibri" w:hAnsi="Calibri" w:cs="Calibri"/>
          <w:sz w:val="29"/>
          <w:szCs w:val="29"/>
        </w:rPr>
      </w:pPr>
      <w:r>
        <w:rPr>
          <w:rFonts w:ascii="Georgia" w:hAnsi="Georgia" w:cs="Georgia"/>
          <w:sz w:val="26"/>
          <w:szCs w:val="26"/>
        </w:rPr>
        <w:t>To unsubscribe from future email messages, please reply with “Unsubscribe” in the subject or body of the email.</w:t>
      </w:r>
    </w:p>
    <w:tbl>
      <w:tblPr>
        <w:tblW w:w="0" w:type="auto"/>
        <w:tblBorders>
          <w:top w:val="nil"/>
          <w:left w:val="nil"/>
          <w:right w:val="nil"/>
        </w:tblBorders>
        <w:tblLayout w:type="fixed"/>
        <w:tblLook w:val="0000" w:firstRow="0" w:lastRow="0" w:firstColumn="0" w:lastColumn="0" w:noHBand="0" w:noVBand="0"/>
      </w:tblPr>
      <w:tblGrid>
        <w:gridCol w:w="6233"/>
        <w:gridCol w:w="6233"/>
      </w:tblGrid>
      <w:tr w:rsidR="005E3090">
        <w:tblPrEx>
          <w:tblCellMar>
            <w:top w:w="0" w:type="dxa"/>
            <w:bottom w:w="0" w:type="dxa"/>
          </w:tblCellMar>
        </w:tblPrEx>
        <w:tc>
          <w:tcPr>
            <w:tcW w:w="6233" w:type="dxa"/>
            <w:tcMar>
              <w:top w:w="144" w:type="nil"/>
              <w:right w:w="144" w:type="nil"/>
            </w:tcMar>
          </w:tcPr>
          <w:p w:rsidR="005E3090" w:rsidRDefault="005E3090">
            <w:pPr>
              <w:widowControl w:val="0"/>
              <w:autoSpaceDE w:val="0"/>
              <w:autoSpaceDN w:val="0"/>
              <w:adjustRightInd w:val="0"/>
              <w:rPr>
                <w:rFonts w:ascii="Calibri" w:hAnsi="Calibri" w:cs="Calibri"/>
                <w:sz w:val="29"/>
                <w:szCs w:val="29"/>
              </w:rPr>
            </w:pPr>
            <w:r>
              <w:rPr>
                <w:rFonts w:ascii="Georgia" w:hAnsi="Georgia" w:cs="Georgia"/>
                <w:noProof/>
                <w:sz w:val="29"/>
                <w:szCs w:val="29"/>
              </w:rPr>
              <w:drawing>
                <wp:inline distT="0" distB="0" distL="0" distR="0">
                  <wp:extent cx="1534160" cy="81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160" cy="812800"/>
                          </a:xfrm>
                          <a:prstGeom prst="rect">
                            <a:avLst/>
                          </a:prstGeom>
                          <a:noFill/>
                          <a:ln>
                            <a:noFill/>
                          </a:ln>
                        </pic:spPr>
                      </pic:pic>
                    </a:graphicData>
                  </a:graphic>
                </wp:inline>
              </w:drawing>
            </w:r>
          </w:p>
          <w:p w:rsidR="005E3090" w:rsidRDefault="005E3090">
            <w:pPr>
              <w:widowControl w:val="0"/>
              <w:autoSpaceDE w:val="0"/>
              <w:autoSpaceDN w:val="0"/>
              <w:adjustRightInd w:val="0"/>
              <w:rPr>
                <w:rFonts w:ascii="Calibri" w:hAnsi="Calibri" w:cs="Calibri"/>
                <w:sz w:val="29"/>
                <w:szCs w:val="29"/>
              </w:rPr>
            </w:pPr>
            <w:r>
              <w:rPr>
                <w:rFonts w:ascii="Georgia" w:hAnsi="Georgia" w:cs="Georgia"/>
                <w:sz w:val="5"/>
                <w:szCs w:val="5"/>
              </w:rPr>
              <w:t xml:space="preserve"> </w:t>
            </w:r>
          </w:p>
          <w:p w:rsidR="005E3090" w:rsidRDefault="005E3090">
            <w:pPr>
              <w:widowControl w:val="0"/>
              <w:autoSpaceDE w:val="0"/>
              <w:autoSpaceDN w:val="0"/>
              <w:adjustRightInd w:val="0"/>
              <w:rPr>
                <w:rFonts w:ascii="Calibri" w:hAnsi="Calibri" w:cs="Calibri"/>
                <w:sz w:val="29"/>
                <w:szCs w:val="29"/>
              </w:rPr>
            </w:pPr>
            <w:r>
              <w:rPr>
                <w:rFonts w:ascii="Georgia" w:hAnsi="Georgia" w:cs="Georgia"/>
              </w:rPr>
              <w:t xml:space="preserve">A Kiewit, Graham and </w:t>
            </w:r>
            <w:proofErr w:type="spellStart"/>
            <w:r>
              <w:rPr>
                <w:rFonts w:ascii="Georgia" w:hAnsi="Georgia" w:cs="Georgia"/>
              </w:rPr>
              <w:t>Ledcor</w:t>
            </w:r>
            <w:proofErr w:type="spellEnd"/>
            <w:r>
              <w:rPr>
                <w:rFonts w:ascii="Georgia" w:hAnsi="Georgia" w:cs="Georgia"/>
              </w:rPr>
              <w:t xml:space="preserve"> Partnership</w:t>
            </w:r>
          </w:p>
          <w:p w:rsidR="005E3090" w:rsidRDefault="005E3090">
            <w:pPr>
              <w:widowControl w:val="0"/>
              <w:autoSpaceDE w:val="0"/>
              <w:autoSpaceDN w:val="0"/>
              <w:adjustRightInd w:val="0"/>
              <w:rPr>
                <w:rFonts w:ascii="Calibri" w:hAnsi="Calibri" w:cs="Calibri"/>
                <w:sz w:val="29"/>
                <w:szCs w:val="29"/>
              </w:rPr>
            </w:pPr>
            <w:r>
              <w:rPr>
                <w:rFonts w:ascii="Georgia" w:hAnsi="Georgia" w:cs="Georgia"/>
                <w:sz w:val="26"/>
                <w:szCs w:val="26"/>
              </w:rPr>
              <w:t xml:space="preserve"> </w:t>
            </w:r>
          </w:p>
        </w:tc>
        <w:tc>
          <w:tcPr>
            <w:tcW w:w="6233" w:type="dxa"/>
            <w:tcMar>
              <w:top w:w="144" w:type="nil"/>
              <w:right w:w="144" w:type="nil"/>
            </w:tcMar>
          </w:tcPr>
          <w:p w:rsidR="005E3090" w:rsidRDefault="005E3090">
            <w:pPr>
              <w:widowControl w:val="0"/>
              <w:autoSpaceDE w:val="0"/>
              <w:autoSpaceDN w:val="0"/>
              <w:adjustRightInd w:val="0"/>
              <w:rPr>
                <w:rFonts w:ascii="Calibri" w:hAnsi="Calibri" w:cs="Calibri"/>
                <w:sz w:val="29"/>
                <w:szCs w:val="29"/>
              </w:rPr>
            </w:pPr>
            <w:r>
              <w:rPr>
                <w:rFonts w:ascii="Georgia" w:hAnsi="Georgia" w:cs="Georgia"/>
                <w:sz w:val="26"/>
                <w:szCs w:val="26"/>
              </w:rPr>
              <w:t xml:space="preserve"> </w:t>
            </w:r>
          </w:p>
          <w:p w:rsidR="005E3090" w:rsidRDefault="005E3090">
            <w:pPr>
              <w:widowControl w:val="0"/>
              <w:autoSpaceDE w:val="0"/>
              <w:autoSpaceDN w:val="0"/>
              <w:adjustRightInd w:val="0"/>
              <w:rPr>
                <w:rFonts w:ascii="Calibri" w:hAnsi="Calibri" w:cs="Calibri"/>
                <w:sz w:val="29"/>
                <w:szCs w:val="29"/>
              </w:rPr>
            </w:pPr>
            <w:r>
              <w:rPr>
                <w:rFonts w:ascii="Georgia" w:hAnsi="Georgia" w:cs="Georgia"/>
                <w:sz w:val="26"/>
                <w:szCs w:val="26"/>
              </w:rPr>
              <w:t xml:space="preserve"> </w:t>
            </w:r>
          </w:p>
          <w:p w:rsidR="005E3090" w:rsidRDefault="005E3090">
            <w:pPr>
              <w:widowControl w:val="0"/>
              <w:autoSpaceDE w:val="0"/>
              <w:autoSpaceDN w:val="0"/>
              <w:adjustRightInd w:val="0"/>
              <w:rPr>
                <w:rFonts w:ascii="Calibri" w:hAnsi="Calibri" w:cs="Calibri"/>
                <w:sz w:val="29"/>
                <w:szCs w:val="29"/>
              </w:rPr>
            </w:pPr>
            <w:r>
              <w:rPr>
                <w:rFonts w:ascii="Georgia" w:hAnsi="Georgia" w:cs="Georgia"/>
                <w:sz w:val="26"/>
                <w:szCs w:val="26"/>
              </w:rPr>
              <w:t xml:space="preserve"> </w:t>
            </w:r>
          </w:p>
          <w:p w:rsidR="005E3090" w:rsidRDefault="005E3090">
            <w:pPr>
              <w:widowControl w:val="0"/>
              <w:autoSpaceDE w:val="0"/>
              <w:autoSpaceDN w:val="0"/>
              <w:adjustRightInd w:val="0"/>
              <w:rPr>
                <w:rFonts w:ascii="Calibri" w:hAnsi="Calibri" w:cs="Calibri"/>
                <w:sz w:val="29"/>
                <w:szCs w:val="29"/>
              </w:rPr>
            </w:pPr>
            <w:r>
              <w:rPr>
                <w:rFonts w:ascii="Georgia" w:hAnsi="Georgia" w:cs="Georgia"/>
                <w:sz w:val="26"/>
                <w:szCs w:val="26"/>
              </w:rPr>
              <w:t xml:space="preserve"> </w:t>
            </w:r>
          </w:p>
          <w:p w:rsidR="005E3090" w:rsidRDefault="005E3090">
            <w:pPr>
              <w:widowControl w:val="0"/>
              <w:autoSpaceDE w:val="0"/>
              <w:autoSpaceDN w:val="0"/>
              <w:adjustRightInd w:val="0"/>
              <w:rPr>
                <w:rFonts w:ascii="Calibri" w:hAnsi="Calibri" w:cs="Calibri"/>
                <w:sz w:val="29"/>
                <w:szCs w:val="29"/>
              </w:rPr>
            </w:pPr>
            <w:r>
              <w:rPr>
                <w:rFonts w:ascii="Georgia" w:hAnsi="Georgia" w:cs="Georgia"/>
              </w:rPr>
              <w:t>24/7 phone: 403-212-0565</w:t>
            </w:r>
          </w:p>
          <w:p w:rsidR="005E3090" w:rsidRDefault="005E3090">
            <w:pPr>
              <w:widowControl w:val="0"/>
              <w:autoSpaceDE w:val="0"/>
              <w:autoSpaceDN w:val="0"/>
              <w:adjustRightInd w:val="0"/>
              <w:rPr>
                <w:rFonts w:ascii="Calibri" w:hAnsi="Calibri" w:cs="Calibri"/>
                <w:sz w:val="29"/>
                <w:szCs w:val="29"/>
              </w:rPr>
            </w:pPr>
            <w:r>
              <w:rPr>
                <w:rFonts w:ascii="Georgia" w:hAnsi="Georgia" w:cs="Georgia"/>
              </w:rPr>
              <w:t xml:space="preserve">Email: </w:t>
            </w:r>
            <w:hyperlink r:id="rId9" w:history="1">
              <w:r>
                <w:rPr>
                  <w:rFonts w:ascii="Georgia" w:hAnsi="Georgia" w:cs="Georgia"/>
                  <w:color w:val="813B5F"/>
                  <w:u w:val="single" w:color="813B5F"/>
                </w:rPr>
                <w:t>info@SWCRRproject.com</w:t>
              </w:r>
            </w:hyperlink>
          </w:p>
          <w:p w:rsidR="005E3090" w:rsidRDefault="005E3090">
            <w:pPr>
              <w:widowControl w:val="0"/>
              <w:autoSpaceDE w:val="0"/>
              <w:autoSpaceDN w:val="0"/>
              <w:adjustRightInd w:val="0"/>
              <w:rPr>
                <w:rFonts w:ascii="Calibri" w:hAnsi="Calibri" w:cs="Calibri"/>
                <w:sz w:val="29"/>
                <w:szCs w:val="29"/>
              </w:rPr>
            </w:pPr>
            <w:r>
              <w:rPr>
                <w:rFonts w:ascii="Georgia" w:hAnsi="Georgia" w:cs="Georgia"/>
              </w:rPr>
              <w:t xml:space="preserve">Website: </w:t>
            </w:r>
            <w:hyperlink r:id="rId10" w:history="1">
              <w:r>
                <w:rPr>
                  <w:rFonts w:ascii="Georgia" w:hAnsi="Georgia" w:cs="Georgia"/>
                  <w:color w:val="813B5F"/>
                  <w:u w:val="single" w:color="813B5F"/>
                </w:rPr>
                <w:t>www.SWCRRproject.com</w:t>
              </w:r>
            </w:hyperlink>
          </w:p>
        </w:tc>
      </w:tr>
    </w:tbl>
    <w:p w:rsidR="00F9524F" w:rsidRDefault="00F9524F"/>
    <w:sectPr w:rsidR="00F9524F" w:rsidSect="00C708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90"/>
    <w:rsid w:val="005E3090"/>
    <w:rsid w:val="00C7081B"/>
    <w:rsid w:val="00F9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9C1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0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0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wcrrproject.com/" TargetMode="External"/><Relationship Id="rId6" Type="http://schemas.openxmlformats.org/officeDocument/2006/relationships/hyperlink" Target="mailto:info@swcrrproject.com" TargetMode="External"/><Relationship Id="rId7" Type="http://schemas.openxmlformats.org/officeDocument/2006/relationships/hyperlink" Target="http://www.swcrrproject.com/" TargetMode="External"/><Relationship Id="rId8" Type="http://schemas.openxmlformats.org/officeDocument/2006/relationships/image" Target="media/image1.jpeg"/><Relationship Id="rId9" Type="http://schemas.openxmlformats.org/officeDocument/2006/relationships/hyperlink" Target="mailto:info@SWCRRproject.com" TargetMode="External"/><Relationship Id="rId10" Type="http://schemas.openxmlformats.org/officeDocument/2006/relationships/hyperlink" Target="http://www.swcrr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Macintosh Word</Application>
  <DocSecurity>0</DocSecurity>
  <Lines>24</Lines>
  <Paragraphs>7</Paragraphs>
  <ScaleCrop>false</ScaleCrop>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Basha</dc:creator>
  <cp:keywords/>
  <dc:description/>
  <cp:lastModifiedBy>Jacqui Basha</cp:lastModifiedBy>
  <cp:revision>1</cp:revision>
  <dcterms:created xsi:type="dcterms:W3CDTF">2017-06-27T21:56:00Z</dcterms:created>
  <dcterms:modified xsi:type="dcterms:W3CDTF">2017-06-27T21:57:00Z</dcterms:modified>
</cp:coreProperties>
</file>